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5EA74D4E" w:rsidR="008E39B4" w:rsidRPr="00811F13" w:rsidRDefault="00BA55F4" w:rsidP="005F4E99">
            <w:pPr>
              <w:rPr>
                <w:rFonts w:cstheme="minorHAnsi"/>
                <w:color w:val="000000" w:themeColor="text1"/>
                <w:sz w:val="20"/>
                <w:szCs w:val="20"/>
              </w:rPr>
            </w:pPr>
            <w:r>
              <w:t>2.3 Aggregate supply (AS)</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7842A869" w:rsidR="001F7779" w:rsidRPr="001F7779" w:rsidRDefault="00730CD7" w:rsidP="00FE54CF">
            <w:pPr>
              <w:rPr>
                <w:rFonts w:cstheme="minorHAnsi"/>
              </w:rPr>
            </w:pPr>
            <w:r>
              <w:rPr>
                <w:rFonts w:cstheme="minorHAnsi"/>
              </w:rPr>
              <w:t xml:space="preserve">Students can now begin to review how spare capacity can prevent or support the macro objectives such as inflation. This builds on AD and how high demand can lead to inflationary pressure which can be helped by an increase in AS.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334F7A1" w14:textId="77777777" w:rsidR="001F7779" w:rsidRDefault="001F7779" w:rsidP="005D49C7">
            <w:pPr>
              <w:rPr>
                <w:rFonts w:cstheme="minorHAnsi"/>
                <w:color w:val="000000" w:themeColor="text1"/>
                <w:sz w:val="20"/>
                <w:szCs w:val="20"/>
              </w:rPr>
            </w:pPr>
          </w:p>
          <w:p w14:paraId="0A3C6438" w14:textId="77777777" w:rsidR="00730CD7" w:rsidRDefault="00730CD7" w:rsidP="005D49C7">
            <w:pPr>
              <w:rPr>
                <w:rFonts w:cstheme="minorHAnsi"/>
                <w:color w:val="000000" w:themeColor="text1"/>
                <w:sz w:val="20"/>
                <w:szCs w:val="20"/>
              </w:rPr>
            </w:pPr>
          </w:p>
          <w:p w14:paraId="738D7BFE" w14:textId="77777777" w:rsidR="00730CD7" w:rsidRDefault="00730CD7" w:rsidP="005D49C7">
            <w:pPr>
              <w:rPr>
                <w:rFonts w:cstheme="minorHAnsi"/>
                <w:color w:val="000000" w:themeColor="text1"/>
                <w:sz w:val="20"/>
                <w:szCs w:val="20"/>
              </w:rPr>
            </w:pPr>
            <w:r>
              <w:rPr>
                <w:rFonts w:cstheme="minorHAnsi"/>
                <w:color w:val="000000" w:themeColor="text1"/>
                <w:sz w:val="20"/>
                <w:szCs w:val="20"/>
              </w:rPr>
              <w:t xml:space="preserve">Spare capacity </w:t>
            </w:r>
          </w:p>
          <w:p w14:paraId="5A83228D" w14:textId="77777777" w:rsidR="00730CD7" w:rsidRDefault="00730CD7" w:rsidP="005D49C7">
            <w:pPr>
              <w:rPr>
                <w:rFonts w:cstheme="minorHAnsi"/>
                <w:color w:val="000000" w:themeColor="text1"/>
                <w:sz w:val="20"/>
                <w:szCs w:val="20"/>
              </w:rPr>
            </w:pPr>
            <w:r>
              <w:rPr>
                <w:rFonts w:cstheme="minorHAnsi"/>
                <w:color w:val="000000" w:themeColor="text1"/>
                <w:sz w:val="20"/>
                <w:szCs w:val="20"/>
              </w:rPr>
              <w:t xml:space="preserve">Output </w:t>
            </w:r>
          </w:p>
          <w:p w14:paraId="4F317060" w14:textId="77777777" w:rsidR="00730CD7" w:rsidRDefault="00730CD7" w:rsidP="005D49C7">
            <w:pPr>
              <w:rPr>
                <w:rFonts w:cstheme="minorHAnsi"/>
                <w:color w:val="000000" w:themeColor="text1"/>
                <w:sz w:val="20"/>
                <w:szCs w:val="20"/>
              </w:rPr>
            </w:pPr>
            <w:r>
              <w:rPr>
                <w:rFonts w:cstheme="minorHAnsi"/>
                <w:color w:val="000000" w:themeColor="text1"/>
                <w:sz w:val="20"/>
                <w:szCs w:val="20"/>
              </w:rPr>
              <w:t xml:space="preserve">Factors of production </w:t>
            </w:r>
          </w:p>
          <w:p w14:paraId="33E36593" w14:textId="77777777" w:rsidR="00730CD7" w:rsidRDefault="00730CD7" w:rsidP="005D49C7">
            <w:pPr>
              <w:rPr>
                <w:rFonts w:cstheme="minorHAnsi"/>
                <w:color w:val="000000" w:themeColor="text1"/>
                <w:sz w:val="20"/>
                <w:szCs w:val="20"/>
              </w:rPr>
            </w:pPr>
            <w:r>
              <w:rPr>
                <w:rFonts w:cstheme="minorHAnsi"/>
                <w:color w:val="000000" w:themeColor="text1"/>
                <w:sz w:val="20"/>
                <w:szCs w:val="20"/>
              </w:rPr>
              <w:t xml:space="preserve">Keynesian LRAS curve </w:t>
            </w:r>
          </w:p>
          <w:p w14:paraId="76AE74DF" w14:textId="33E4E6ED" w:rsidR="00730CD7" w:rsidRDefault="00730CD7" w:rsidP="005D49C7">
            <w:pPr>
              <w:rPr>
                <w:rFonts w:cstheme="minorHAnsi"/>
                <w:color w:val="000000" w:themeColor="text1"/>
                <w:sz w:val="20"/>
                <w:szCs w:val="20"/>
              </w:rPr>
            </w:pPr>
            <w:r>
              <w:rPr>
                <w:rFonts w:cstheme="minorHAnsi"/>
                <w:color w:val="000000" w:themeColor="text1"/>
                <w:sz w:val="20"/>
                <w:szCs w:val="20"/>
              </w:rPr>
              <w:t xml:space="preserve">Short run </w:t>
            </w:r>
          </w:p>
          <w:p w14:paraId="0F4BF72E" w14:textId="229E3C29" w:rsidR="00730CD7" w:rsidRDefault="00730CD7" w:rsidP="005D49C7">
            <w:pPr>
              <w:rPr>
                <w:rFonts w:cstheme="minorHAnsi"/>
                <w:color w:val="000000" w:themeColor="text1"/>
                <w:sz w:val="20"/>
                <w:szCs w:val="20"/>
              </w:rPr>
            </w:pPr>
            <w:r>
              <w:rPr>
                <w:rFonts w:cstheme="minorHAnsi"/>
                <w:color w:val="000000" w:themeColor="text1"/>
                <w:sz w:val="20"/>
                <w:szCs w:val="20"/>
              </w:rPr>
              <w:t xml:space="preserve">Long run </w:t>
            </w:r>
          </w:p>
          <w:p w14:paraId="029AD608" w14:textId="77777777" w:rsidR="00730CD7" w:rsidRDefault="00730CD7" w:rsidP="005D49C7">
            <w:pPr>
              <w:rPr>
                <w:rFonts w:cstheme="minorHAnsi"/>
                <w:color w:val="000000" w:themeColor="text1"/>
                <w:sz w:val="20"/>
                <w:szCs w:val="20"/>
              </w:rPr>
            </w:pPr>
            <w:r>
              <w:rPr>
                <w:rFonts w:cstheme="minorHAnsi"/>
                <w:color w:val="000000" w:themeColor="text1"/>
                <w:sz w:val="20"/>
                <w:szCs w:val="20"/>
              </w:rPr>
              <w:t xml:space="preserve">Real national output </w:t>
            </w:r>
          </w:p>
          <w:p w14:paraId="49147324" w14:textId="1DF18FE4" w:rsidR="00730CD7" w:rsidRPr="00811F13" w:rsidRDefault="00730CD7" w:rsidP="005D49C7">
            <w:pPr>
              <w:rPr>
                <w:rFonts w:cstheme="minorHAnsi"/>
                <w:color w:val="000000" w:themeColor="text1"/>
                <w:sz w:val="20"/>
                <w:szCs w:val="20"/>
              </w:rPr>
            </w:pPr>
            <w:r>
              <w:rPr>
                <w:rFonts w:cstheme="minorHAnsi"/>
                <w:color w:val="000000" w:themeColor="text1"/>
                <w:sz w:val="20"/>
                <w:szCs w:val="20"/>
              </w:rPr>
              <w:t xml:space="preserve">Factor mobility </w:t>
            </w: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60377A6C" w14:textId="10B0C005" w:rsidR="00781784" w:rsidRDefault="00BA55F4" w:rsidP="007E2A9F">
            <w:r>
              <w:t>2.3.1 The characteristics of AS</w:t>
            </w:r>
          </w:p>
          <w:p w14:paraId="67C32EDF" w14:textId="364C7392" w:rsidR="00BA55F4" w:rsidRDefault="00BA55F4" w:rsidP="007E2A9F">
            <w:r>
              <w:t>2.3.2 Short-run AS</w:t>
            </w:r>
          </w:p>
          <w:p w14:paraId="2DFA74D8" w14:textId="1C6C50FB" w:rsidR="00BA55F4" w:rsidRDefault="00BA55F4" w:rsidP="007E2A9F">
            <w:r>
              <w:t>2.3.3 Long-run AS</w:t>
            </w:r>
          </w:p>
          <w:p w14:paraId="026B5C78" w14:textId="77777777" w:rsidR="00BA55F4" w:rsidRPr="00190697" w:rsidRDefault="00BA55F4" w:rsidP="007E2A9F">
            <w:pPr>
              <w:rPr>
                <w:rFonts w:cstheme="minorHAnsi"/>
                <w:b/>
                <w:bCs/>
                <w:color w:val="000000" w:themeColor="text1"/>
              </w:rPr>
            </w:pPr>
          </w:p>
          <w:p w14:paraId="704CD9BE" w14:textId="5444E7E7" w:rsidR="00190697" w:rsidRPr="00190697" w:rsidRDefault="00190697" w:rsidP="00F965DC">
            <w:pPr>
              <w:rPr>
                <w:rFonts w:cstheme="minorHAnsi"/>
                <w:b/>
                <w:bCs/>
                <w:color w:val="000000" w:themeColor="text1"/>
              </w:rPr>
            </w:pP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DF1B007" w14:textId="77777777" w:rsidR="00730CD7" w:rsidRDefault="00730CD7" w:rsidP="00730CD7">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4BFAEBF6" w14:textId="77777777" w:rsidR="00730CD7" w:rsidRDefault="00730CD7" w:rsidP="00730CD7">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743B1A06" w14:textId="77777777" w:rsidR="00730CD7" w:rsidRDefault="00730CD7" w:rsidP="00730CD7">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1A625A55" w14:textId="77777777" w:rsidR="00730CD7" w:rsidRPr="00F9765D" w:rsidRDefault="00730CD7" w:rsidP="00730CD7">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58FA6074"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730CD7"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90697"/>
    <w:rsid w:val="001E01A1"/>
    <w:rsid w:val="001F7779"/>
    <w:rsid w:val="002B0167"/>
    <w:rsid w:val="003B2538"/>
    <w:rsid w:val="003E6B6F"/>
    <w:rsid w:val="00440E6C"/>
    <w:rsid w:val="00487E07"/>
    <w:rsid w:val="004B17FA"/>
    <w:rsid w:val="005D49C7"/>
    <w:rsid w:val="005F4E99"/>
    <w:rsid w:val="007146EF"/>
    <w:rsid w:val="00730CD7"/>
    <w:rsid w:val="00781784"/>
    <w:rsid w:val="007E2A9F"/>
    <w:rsid w:val="00804340"/>
    <w:rsid w:val="00811F13"/>
    <w:rsid w:val="0083335D"/>
    <w:rsid w:val="00847F4E"/>
    <w:rsid w:val="00867D25"/>
    <w:rsid w:val="008B1952"/>
    <w:rsid w:val="008E39B4"/>
    <w:rsid w:val="00A23F48"/>
    <w:rsid w:val="00A314F1"/>
    <w:rsid w:val="00B47DF2"/>
    <w:rsid w:val="00BA55F4"/>
    <w:rsid w:val="00BA646E"/>
    <w:rsid w:val="00C1340F"/>
    <w:rsid w:val="00C67435"/>
    <w:rsid w:val="00CA59AB"/>
    <w:rsid w:val="00CF4CB6"/>
    <w:rsid w:val="00DB0006"/>
    <w:rsid w:val="00DC23A5"/>
    <w:rsid w:val="00E5371A"/>
    <w:rsid w:val="00E64F4C"/>
    <w:rsid w:val="00F43D58"/>
    <w:rsid w:val="00F965DC"/>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6AC8C-91DE-451C-AF14-4408DE7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2022-06-13T14:59:00Z</dcterms:created>
  <dcterms:modified xsi:type="dcterms:W3CDTF">2022-07-01T10:55:00Z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